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81" w:firstLineChars="100"/>
        <w:jc w:val="both"/>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亿得实业</w:t>
      </w:r>
      <w:r>
        <w:rPr>
          <w:rFonts w:hint="eastAsia" w:ascii="Times New Roman"/>
          <w:b/>
          <w:sz w:val="28"/>
          <w:szCs w:val="28"/>
        </w:rPr>
        <w:t>有限公司</w:t>
      </w:r>
      <w:r>
        <w:rPr>
          <w:rFonts w:hint="eastAsia" w:ascii="Times New Roman"/>
          <w:b/>
          <w:sz w:val="28"/>
          <w:szCs w:val="28"/>
          <w:lang w:eastAsia="zh-CN"/>
        </w:rPr>
        <w:t>（一期）建设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07</w:t>
      </w:r>
      <w:r>
        <w:rPr>
          <w:rFonts w:hint="eastAsia" w:ascii="Times New Roman"/>
          <w:sz w:val="24"/>
          <w:szCs w:val="24"/>
        </w:rPr>
        <w:t>月</w:t>
      </w:r>
      <w:r>
        <w:rPr>
          <w:rFonts w:hint="eastAsia" w:ascii="Times New Roman"/>
          <w:sz w:val="24"/>
          <w:szCs w:val="24"/>
          <w:lang w:val="en-US" w:eastAsia="zh-CN"/>
        </w:rPr>
        <w:t>2</w:t>
      </w:r>
      <w:r>
        <w:rPr>
          <w:rFonts w:hint="eastAsia" w:ascii="Times New Roman"/>
          <w:sz w:val="24"/>
          <w:szCs w:val="24"/>
        </w:rPr>
        <w:t>日东莞市</w:t>
      </w:r>
      <w:r>
        <w:rPr>
          <w:rFonts w:hint="eastAsia" w:ascii="Times New Roman"/>
          <w:sz w:val="24"/>
          <w:szCs w:val="24"/>
          <w:lang w:eastAsia="zh-CN"/>
        </w:rPr>
        <w:t>亿得实业</w:t>
      </w:r>
      <w:r>
        <w:rPr>
          <w:rFonts w:hint="eastAsia" w:ascii="Times New Roman"/>
          <w:sz w:val="24"/>
          <w:szCs w:val="24"/>
        </w:rPr>
        <w:t>有限公司根据东莞市</w:t>
      </w:r>
      <w:r>
        <w:rPr>
          <w:rFonts w:hint="eastAsia" w:ascii="Times New Roman"/>
          <w:sz w:val="24"/>
          <w:szCs w:val="24"/>
          <w:lang w:eastAsia="zh-CN"/>
        </w:rPr>
        <w:t>亿得实业</w:t>
      </w:r>
      <w:r>
        <w:rPr>
          <w:rFonts w:hint="eastAsia" w:ascii="Times New Roman"/>
          <w:sz w:val="24"/>
          <w:szCs w:val="24"/>
        </w:rPr>
        <w:t>有限公司</w:t>
      </w:r>
      <w:r>
        <w:rPr>
          <w:rFonts w:hint="eastAsia" w:ascii="Times New Roman"/>
          <w:sz w:val="24"/>
          <w:szCs w:val="24"/>
          <w:lang w:eastAsia="zh-CN"/>
        </w:rPr>
        <w:t>一期建设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亿得实业</w:t>
      </w:r>
      <w:r>
        <w:rPr>
          <w:rFonts w:hint="eastAsia" w:cs="Times New Roman"/>
        </w:rPr>
        <w:t>有限公司位于</w:t>
      </w:r>
      <w:r>
        <w:rPr>
          <w:rFonts w:hint="eastAsia" w:cs="Times New Roman"/>
          <w:color w:val="000000"/>
          <w:lang w:eastAsia="zh-CN"/>
        </w:rPr>
        <w:t>东莞市虎门镇怀德社区新沙埔四方园</w:t>
      </w:r>
      <w:r>
        <w:rPr>
          <w:rFonts w:hint="eastAsia" w:cs="Times New Roman"/>
          <w:color w:val="000000"/>
          <w:lang w:val="en-US" w:eastAsia="zh-CN"/>
        </w:rPr>
        <w:t>8号B栋四楼</w:t>
      </w:r>
      <w:r>
        <w:rPr>
          <w:rFonts w:hint="eastAsia" w:cs="Times New Roman"/>
          <w:bCs/>
          <w:color w:val="000000"/>
        </w:rPr>
        <w:t>（北纬</w:t>
      </w:r>
      <w:r>
        <w:rPr>
          <w:rFonts w:cs="Times New Roman"/>
          <w:bCs/>
          <w:color w:val="000000"/>
        </w:rPr>
        <w:t>22°</w:t>
      </w:r>
      <w:r>
        <w:rPr>
          <w:rFonts w:hint="eastAsia" w:cs="Times New Roman"/>
          <w:bCs/>
          <w:color w:val="000000"/>
          <w:lang w:val="en-US" w:eastAsia="zh-CN"/>
        </w:rPr>
        <w:t>51</w:t>
      </w:r>
      <w:r>
        <w:rPr>
          <w:rFonts w:cs="Times New Roman"/>
          <w:bCs/>
          <w:color w:val="000000"/>
        </w:rPr>
        <w:t>′</w:t>
      </w:r>
      <w:r>
        <w:rPr>
          <w:rFonts w:hint="eastAsia" w:cs="Times New Roman"/>
          <w:bCs/>
          <w:color w:val="000000"/>
          <w:lang w:val="en-US" w:eastAsia="zh-CN"/>
        </w:rPr>
        <w:t>1.49</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52.35</w:t>
      </w:r>
      <w:r>
        <w:rPr>
          <w:rFonts w:cs="Times New Roman"/>
          <w:bCs/>
          <w:color w:val="000000"/>
        </w:rPr>
        <w:t>″</w:t>
      </w:r>
      <w:r>
        <w:rPr>
          <w:rFonts w:hint="eastAsia" w:cs="Times New Roman"/>
          <w:bCs/>
          <w:color w:val="000000"/>
        </w:rPr>
        <w:t>）</w:t>
      </w:r>
      <w:r>
        <w:rPr>
          <w:rFonts w:hint="eastAsia" w:cs="Times New Roman"/>
        </w:rPr>
        <w:t>。</w:t>
      </w:r>
      <w:r>
        <w:rPr>
          <w:rFonts w:hint="eastAsia" w:cs="Times New Roman"/>
          <w:lang w:eastAsia="zh-CN"/>
        </w:rPr>
        <w:t>一期</w:t>
      </w:r>
      <w:r>
        <w:rPr>
          <w:rFonts w:hint="eastAsia" w:cs="Times New Roman"/>
        </w:rPr>
        <w:t>项目所在厂房为租用，占地面积</w:t>
      </w:r>
      <w:r>
        <w:rPr>
          <w:rFonts w:hint="eastAsia" w:cs="Times New Roman"/>
          <w:lang w:val="en-US" w:eastAsia="zh-CN"/>
        </w:rPr>
        <w:t>1380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1380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150</w:t>
      </w:r>
      <w:r>
        <w:rPr>
          <w:rFonts w:hint="eastAsia" w:cs="Times New Roman"/>
        </w:rPr>
        <w:t>万元，设有员工</w:t>
      </w:r>
      <w:r>
        <w:rPr>
          <w:rFonts w:hint="eastAsia" w:cs="Times New Roman"/>
          <w:lang w:val="en-US" w:eastAsia="zh-CN"/>
        </w:rPr>
        <w:t>20</w:t>
      </w:r>
      <w:r>
        <w:rPr>
          <w:rFonts w:hint="eastAsia" w:cs="Times New Roman"/>
        </w:rPr>
        <w:t>人，主要</w:t>
      </w:r>
      <w:r>
        <w:rPr>
          <w:rFonts w:hint="eastAsia" w:cs="Times New Roman"/>
          <w:lang w:eastAsia="zh-CN"/>
        </w:rPr>
        <w:t>从事花纸的加工生产</w:t>
      </w:r>
      <w:r>
        <w:rPr>
          <w:rFonts w:hint="eastAsia" w:cs="Times New Roman"/>
        </w:rPr>
        <w:t>，</w:t>
      </w:r>
      <w:r>
        <w:rPr>
          <w:rFonts w:hint="eastAsia" w:cs="Times New Roman"/>
          <w:lang w:eastAsia="zh-CN"/>
        </w:rPr>
        <w:t>一期项目实际</w:t>
      </w:r>
      <w:r>
        <w:rPr>
          <w:rFonts w:hint="eastAsia" w:cs="Times New Roman"/>
        </w:rPr>
        <w:t>年</w:t>
      </w:r>
      <w:r>
        <w:rPr>
          <w:rFonts w:hint="eastAsia" w:cs="Times New Roman"/>
          <w:lang w:eastAsia="zh-CN"/>
        </w:rPr>
        <w:t>产量为</w:t>
      </w:r>
      <w:r>
        <w:rPr>
          <w:rFonts w:hint="eastAsia" w:cs="Times New Roman"/>
          <w:lang w:val="en-US" w:eastAsia="zh-CN"/>
        </w:rPr>
        <w:t>80万张</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亿得实业</w:t>
      </w:r>
      <w:r>
        <w:rPr>
          <w:rFonts w:hint="eastAsia" w:cs="Times New Roman"/>
          <w:color w:val="000000"/>
        </w:rPr>
        <w:t>有限公司于</w:t>
      </w:r>
      <w:r>
        <w:rPr>
          <w:rFonts w:cs="Times New Roman"/>
          <w:color w:val="000000"/>
        </w:rPr>
        <w:t>20</w:t>
      </w:r>
      <w:r>
        <w:rPr>
          <w:rFonts w:hint="eastAsia" w:cs="Times New Roman"/>
          <w:color w:val="000000"/>
          <w:lang w:val="en-US" w:eastAsia="zh-CN"/>
        </w:rPr>
        <w:t>19</w:t>
      </w:r>
      <w:r>
        <w:rPr>
          <w:rFonts w:hint="eastAsia" w:cs="Times New Roman"/>
          <w:color w:val="000000"/>
        </w:rPr>
        <w:t>年</w:t>
      </w:r>
      <w:r>
        <w:rPr>
          <w:rFonts w:hint="eastAsia" w:cs="Times New Roman"/>
          <w:color w:val="000000"/>
          <w:lang w:val="en-US" w:eastAsia="zh-CN"/>
        </w:rPr>
        <w:t>4</w:t>
      </w:r>
      <w:r>
        <w:rPr>
          <w:rFonts w:hint="eastAsia" w:cs="Times New Roman"/>
          <w:color w:val="000000"/>
        </w:rPr>
        <w:t>月委托</w:t>
      </w:r>
      <w:r>
        <w:rPr>
          <w:rFonts w:hint="eastAsia" w:cs="Times New Roman"/>
          <w:color w:val="000000"/>
          <w:lang w:eastAsia="zh-CN"/>
        </w:rPr>
        <w:t>广西圣川环保工程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亿得实业</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w:t>
      </w:r>
      <w:r>
        <w:rPr>
          <w:rFonts w:hint="eastAsia" w:cs="Times New Roman"/>
          <w:color w:val="000000"/>
          <w:lang w:val="en-US" w:eastAsia="zh-CN"/>
        </w:rPr>
        <w:t>19</w:t>
      </w:r>
      <w:r>
        <w:rPr>
          <w:rFonts w:hint="eastAsia" w:cs="Times New Roman"/>
          <w:color w:val="000000"/>
        </w:rPr>
        <w:t>〕</w:t>
      </w:r>
      <w:r>
        <w:rPr>
          <w:rFonts w:hint="eastAsia" w:cs="Times New Roman"/>
          <w:color w:val="000000"/>
          <w:lang w:val="en-US" w:eastAsia="zh-CN"/>
        </w:rPr>
        <w:t>9514</w:t>
      </w:r>
      <w:r>
        <w:rPr>
          <w:rFonts w:hint="eastAsia" w:cs="Times New Roman"/>
          <w:color w:val="000000"/>
        </w:rPr>
        <w:t>号。</w:t>
      </w:r>
    </w:p>
    <w:p>
      <w:pPr>
        <w:spacing w:line="360" w:lineRule="auto"/>
        <w:ind w:firstLine="480" w:firstLineChars="200"/>
        <w:outlineLvl w:val="0"/>
        <w:rPr>
          <w:rFonts w:hint="eastAsia" w:ascii="Times New Roman"/>
          <w:sz w:val="24"/>
          <w:szCs w:val="24"/>
        </w:rPr>
      </w:pPr>
      <w:r>
        <w:rPr>
          <w:rFonts w:hint="eastAsia" w:cs="Times New Roman"/>
          <w:sz w:val="24"/>
          <w:szCs w:val="24"/>
          <w:lang w:eastAsia="zh-CN"/>
        </w:rPr>
        <w:t>因部分设备未回齐，现申请一期验收，一期</w:t>
      </w:r>
      <w:r>
        <w:rPr>
          <w:rFonts w:hint="eastAsia" w:ascii="Times New Roman"/>
          <w:sz w:val="24"/>
        </w:rPr>
        <w:t>项目于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4</w:t>
      </w:r>
      <w:r>
        <w:rPr>
          <w:rFonts w:hint="eastAsia" w:ascii="Times New Roman"/>
          <w:sz w:val="24"/>
        </w:rPr>
        <w:t>月开工建设，已于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4</w:t>
      </w:r>
      <w:r>
        <w:rPr>
          <w:rFonts w:hint="eastAsia" w:ascii="Times New Roman"/>
          <w:sz w:val="24"/>
        </w:rPr>
        <w:t>月建设完成，设备安装完毕</w:t>
      </w:r>
      <w:r>
        <w:rPr>
          <w:rFonts w:hint="eastAsia" w:ascii="Times New Roman"/>
          <w:sz w:val="24"/>
          <w:szCs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一期</w:t>
      </w:r>
      <w:r>
        <w:rPr>
          <w:rFonts w:hint="eastAsia" w:ascii="Times New Roman"/>
          <w:sz w:val="24"/>
        </w:rPr>
        <w:t>项目总投资</w:t>
      </w:r>
      <w:r>
        <w:rPr>
          <w:rFonts w:hint="eastAsia" w:ascii="Times New Roman"/>
          <w:sz w:val="24"/>
          <w:lang w:val="en-US" w:eastAsia="zh-CN"/>
        </w:rPr>
        <w:t>1</w:t>
      </w:r>
      <w:r>
        <w:rPr>
          <w:rFonts w:hint="eastAsia" w:ascii="Times New Roman" w:hAnsi="Times New Roman"/>
          <w:sz w:val="24"/>
          <w:lang w:val="en-US" w:eastAsia="zh-CN"/>
        </w:rPr>
        <w:t>5</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6</w:t>
      </w:r>
      <w:r>
        <w:rPr>
          <w:rFonts w:hint="eastAsia" w:ascii="Times New Roman"/>
          <w:sz w:val="24"/>
        </w:rPr>
        <w:t>万元，占总投资的</w:t>
      </w:r>
      <w:r>
        <w:rPr>
          <w:rFonts w:hint="eastAsia" w:ascii="Times New Roman" w:hAnsi="Times New Roman"/>
          <w:sz w:val="24"/>
          <w:lang w:val="en-US" w:eastAsia="zh-CN"/>
        </w:rPr>
        <w:t>4</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w:t>
      </w:r>
      <w:r>
        <w:rPr>
          <w:rFonts w:hint="eastAsia" w:ascii="Times New Roman"/>
          <w:sz w:val="24"/>
          <w:szCs w:val="24"/>
          <w:lang w:eastAsia="zh-CN"/>
        </w:rPr>
        <w:t>一期</w:t>
      </w:r>
      <w:r>
        <w:rPr>
          <w:rFonts w:hint="eastAsia" w:ascii="Times New Roman"/>
          <w:sz w:val="24"/>
          <w:szCs w:val="24"/>
        </w:rPr>
        <w:t>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lang w:eastAsia="zh-CN"/>
        </w:rPr>
        <w:t>一期</w:t>
      </w:r>
      <w:r>
        <w:rPr>
          <w:rFonts w:hint="eastAsia" w:ascii="Times New Roman"/>
          <w:sz w:val="24"/>
          <w:szCs w:val="24"/>
        </w:rPr>
        <w:t>项目实际建设内容与环评批复的审批内容基本一致，无重大变动情况。</w:t>
      </w:r>
    </w:p>
    <w:p>
      <w:pPr>
        <w:spacing w:line="360" w:lineRule="auto"/>
        <w:ind w:firstLine="480" w:firstLineChars="200"/>
        <w:rPr>
          <w:rFonts w:hint="eastAsia" w:ascii="Times New Roman"/>
          <w:sz w:val="24"/>
          <w:szCs w:val="24"/>
          <w:lang w:eastAsia="zh-CN"/>
        </w:rPr>
      </w:pPr>
      <w:r>
        <w:rPr>
          <w:rFonts w:hint="eastAsia" w:ascii="Times New Roman"/>
          <w:sz w:val="24"/>
          <w:szCs w:val="24"/>
          <w:lang w:eastAsia="zh-CN"/>
        </w:rPr>
        <w:t>目前我司一期项目引进设备数量情况如下：</w:t>
      </w:r>
    </w:p>
    <w:tbl>
      <w:tblPr>
        <w:tblStyle w:val="9"/>
        <w:tblW w:w="888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18"/>
        <w:gridCol w:w="1190"/>
        <w:gridCol w:w="1135"/>
        <w:gridCol w:w="1254"/>
        <w:gridCol w:w="1736"/>
        <w:gridCol w:w="150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18"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序号</w:t>
            </w:r>
          </w:p>
        </w:tc>
        <w:tc>
          <w:tcPr>
            <w:tcW w:w="232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设备名称</w:t>
            </w:r>
          </w:p>
        </w:tc>
        <w:tc>
          <w:tcPr>
            <w:tcW w:w="1254"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环评数量</w:t>
            </w:r>
          </w:p>
        </w:tc>
        <w:tc>
          <w:tcPr>
            <w:tcW w:w="1736"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一期验收数量</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未验收数量</w:t>
            </w:r>
          </w:p>
        </w:tc>
        <w:tc>
          <w:tcPr>
            <w:tcW w:w="135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1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w:t>
            </w:r>
          </w:p>
        </w:tc>
        <w:tc>
          <w:tcPr>
            <w:tcW w:w="232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自动丝印机</w:t>
            </w:r>
          </w:p>
        </w:tc>
        <w:tc>
          <w:tcPr>
            <w:tcW w:w="125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5台</w:t>
            </w:r>
          </w:p>
        </w:tc>
        <w:tc>
          <w:tcPr>
            <w:tcW w:w="173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5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350"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丝印、烘干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1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w:t>
            </w:r>
          </w:p>
        </w:tc>
        <w:tc>
          <w:tcPr>
            <w:tcW w:w="119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配套</w:t>
            </w:r>
          </w:p>
        </w:tc>
        <w:tc>
          <w:tcPr>
            <w:tcW w:w="113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烘干线</w:t>
            </w:r>
          </w:p>
        </w:tc>
        <w:tc>
          <w:tcPr>
            <w:tcW w:w="125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5条</w:t>
            </w:r>
          </w:p>
        </w:tc>
        <w:tc>
          <w:tcPr>
            <w:tcW w:w="173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3条</w:t>
            </w:r>
          </w:p>
        </w:tc>
        <w:tc>
          <w:tcPr>
            <w:tcW w:w="15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2条</w:t>
            </w:r>
          </w:p>
        </w:tc>
        <w:tc>
          <w:tcPr>
            <w:tcW w:w="1350" w:type="dxa"/>
            <w:vMerge w:val="continue"/>
            <w:tcBorders/>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1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w:t>
            </w:r>
          </w:p>
        </w:tc>
        <w:tc>
          <w:tcPr>
            <w:tcW w:w="232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半自动丝印机</w:t>
            </w:r>
          </w:p>
        </w:tc>
        <w:tc>
          <w:tcPr>
            <w:tcW w:w="125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73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5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0台</w:t>
            </w:r>
          </w:p>
        </w:tc>
        <w:tc>
          <w:tcPr>
            <w:tcW w:w="1350" w:type="dxa"/>
            <w:vMerge w:val="continue"/>
            <w:tcBorders/>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1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w:t>
            </w:r>
          </w:p>
        </w:tc>
        <w:tc>
          <w:tcPr>
            <w:tcW w:w="232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UV机</w:t>
            </w:r>
          </w:p>
        </w:tc>
        <w:tc>
          <w:tcPr>
            <w:tcW w:w="125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73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5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350" w:type="dxa"/>
            <w:vMerge w:val="continue"/>
            <w:tcBorders/>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1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w:t>
            </w:r>
          </w:p>
        </w:tc>
        <w:tc>
          <w:tcPr>
            <w:tcW w:w="232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烫金机</w:t>
            </w:r>
          </w:p>
        </w:tc>
        <w:tc>
          <w:tcPr>
            <w:tcW w:w="1254"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2台</w:t>
            </w:r>
          </w:p>
        </w:tc>
        <w:tc>
          <w:tcPr>
            <w:tcW w:w="173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35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烫金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1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w:t>
            </w:r>
          </w:p>
        </w:tc>
        <w:tc>
          <w:tcPr>
            <w:tcW w:w="232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上膜机</w:t>
            </w:r>
          </w:p>
        </w:tc>
        <w:tc>
          <w:tcPr>
            <w:tcW w:w="1254"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2台</w:t>
            </w:r>
          </w:p>
        </w:tc>
        <w:tc>
          <w:tcPr>
            <w:tcW w:w="173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35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上膜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1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7</w:t>
            </w:r>
          </w:p>
        </w:tc>
        <w:tc>
          <w:tcPr>
            <w:tcW w:w="232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丝印机</w:t>
            </w:r>
          </w:p>
        </w:tc>
        <w:tc>
          <w:tcPr>
            <w:tcW w:w="1254"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2台</w:t>
            </w:r>
          </w:p>
        </w:tc>
        <w:tc>
          <w:tcPr>
            <w:tcW w:w="173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0台</w:t>
            </w:r>
          </w:p>
        </w:tc>
        <w:tc>
          <w:tcPr>
            <w:tcW w:w="1350"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打样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1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w:t>
            </w:r>
          </w:p>
        </w:tc>
        <w:tc>
          <w:tcPr>
            <w:tcW w:w="232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调墨机</w:t>
            </w:r>
          </w:p>
        </w:tc>
        <w:tc>
          <w:tcPr>
            <w:tcW w:w="1254"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2台</w:t>
            </w:r>
          </w:p>
        </w:tc>
        <w:tc>
          <w:tcPr>
            <w:tcW w:w="173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0台</w:t>
            </w:r>
          </w:p>
        </w:tc>
        <w:tc>
          <w:tcPr>
            <w:tcW w:w="1350" w:type="dxa"/>
            <w:vMerge w:val="continue"/>
            <w:tcBorders/>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1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9</w:t>
            </w:r>
          </w:p>
        </w:tc>
        <w:tc>
          <w:tcPr>
            <w:tcW w:w="232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烤箱</w:t>
            </w:r>
          </w:p>
        </w:tc>
        <w:tc>
          <w:tcPr>
            <w:tcW w:w="125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73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0台</w:t>
            </w:r>
          </w:p>
        </w:tc>
        <w:tc>
          <w:tcPr>
            <w:tcW w:w="1350" w:type="dxa"/>
            <w:vMerge w:val="continue"/>
            <w:tcBorders/>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1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w:t>
            </w:r>
          </w:p>
        </w:tc>
        <w:tc>
          <w:tcPr>
            <w:tcW w:w="232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晒版机</w:t>
            </w:r>
          </w:p>
        </w:tc>
        <w:tc>
          <w:tcPr>
            <w:tcW w:w="125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73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0台</w:t>
            </w:r>
          </w:p>
        </w:tc>
        <w:tc>
          <w:tcPr>
            <w:tcW w:w="1350"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制版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1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11</w:t>
            </w:r>
          </w:p>
        </w:tc>
        <w:tc>
          <w:tcPr>
            <w:tcW w:w="232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拉网机</w:t>
            </w:r>
          </w:p>
        </w:tc>
        <w:tc>
          <w:tcPr>
            <w:tcW w:w="125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73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0台</w:t>
            </w:r>
          </w:p>
        </w:tc>
        <w:tc>
          <w:tcPr>
            <w:tcW w:w="1350" w:type="dxa"/>
            <w:vMerge w:val="continue"/>
            <w:tcBorders/>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1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12</w:t>
            </w:r>
          </w:p>
        </w:tc>
        <w:tc>
          <w:tcPr>
            <w:tcW w:w="232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涂布机（涂感光胶）</w:t>
            </w:r>
          </w:p>
        </w:tc>
        <w:tc>
          <w:tcPr>
            <w:tcW w:w="125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73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0台</w:t>
            </w:r>
          </w:p>
        </w:tc>
        <w:tc>
          <w:tcPr>
            <w:tcW w:w="15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350" w:type="dxa"/>
            <w:vMerge w:val="continue"/>
            <w:tcBorders/>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1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13</w:t>
            </w:r>
          </w:p>
        </w:tc>
        <w:tc>
          <w:tcPr>
            <w:tcW w:w="232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补版台</w:t>
            </w:r>
          </w:p>
        </w:tc>
        <w:tc>
          <w:tcPr>
            <w:tcW w:w="125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2个</w:t>
            </w:r>
          </w:p>
        </w:tc>
        <w:tc>
          <w:tcPr>
            <w:tcW w:w="173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1个</w:t>
            </w:r>
          </w:p>
        </w:tc>
        <w:tc>
          <w:tcPr>
            <w:tcW w:w="15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1个</w:t>
            </w:r>
          </w:p>
        </w:tc>
        <w:tc>
          <w:tcPr>
            <w:tcW w:w="1350" w:type="dxa"/>
            <w:vMerge w:val="continue"/>
            <w:tcBorders/>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1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14</w:t>
            </w:r>
          </w:p>
        </w:tc>
        <w:tc>
          <w:tcPr>
            <w:tcW w:w="232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冲洗版水池</w:t>
            </w:r>
          </w:p>
        </w:tc>
        <w:tc>
          <w:tcPr>
            <w:tcW w:w="125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3个</w:t>
            </w:r>
          </w:p>
        </w:tc>
        <w:tc>
          <w:tcPr>
            <w:tcW w:w="173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3个</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0台</w:t>
            </w:r>
          </w:p>
        </w:tc>
        <w:tc>
          <w:tcPr>
            <w:tcW w:w="1350" w:type="dxa"/>
            <w:vMerge w:val="continue"/>
            <w:tcBorders/>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1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15</w:t>
            </w:r>
          </w:p>
        </w:tc>
        <w:tc>
          <w:tcPr>
            <w:tcW w:w="232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烤箱</w:t>
            </w:r>
          </w:p>
        </w:tc>
        <w:tc>
          <w:tcPr>
            <w:tcW w:w="125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73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0台</w:t>
            </w:r>
          </w:p>
        </w:tc>
        <w:tc>
          <w:tcPr>
            <w:tcW w:w="1350" w:type="dxa"/>
            <w:vMerge w:val="continue"/>
            <w:tcBorders/>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1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16</w:t>
            </w:r>
          </w:p>
        </w:tc>
        <w:tc>
          <w:tcPr>
            <w:tcW w:w="232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空压机</w:t>
            </w:r>
          </w:p>
        </w:tc>
        <w:tc>
          <w:tcPr>
            <w:tcW w:w="125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73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0台</w:t>
            </w:r>
          </w:p>
        </w:tc>
        <w:tc>
          <w:tcPr>
            <w:tcW w:w="1350"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18"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17</w:t>
            </w:r>
          </w:p>
        </w:tc>
        <w:tc>
          <w:tcPr>
            <w:tcW w:w="2325"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磨刀机</w:t>
            </w:r>
          </w:p>
        </w:tc>
        <w:tc>
          <w:tcPr>
            <w:tcW w:w="125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73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5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0台</w:t>
            </w:r>
          </w:p>
        </w:tc>
        <w:tc>
          <w:tcPr>
            <w:tcW w:w="1350" w:type="dxa"/>
            <w:vMerge w:val="continue"/>
            <w:tcBorders/>
            <w:vAlign w:val="center"/>
          </w:tcPr>
          <w:p>
            <w:pPr>
              <w:spacing w:line="360" w:lineRule="auto"/>
              <w:jc w:val="center"/>
              <w:rPr>
                <w:rFonts w:hint="eastAsia" w:ascii="Times New Roman"/>
                <w:sz w:val="24"/>
                <w:szCs w:val="24"/>
                <w:vertAlign w:val="baseline"/>
                <w:lang w:eastAsia="zh-CN"/>
              </w:rPr>
            </w:pPr>
          </w:p>
        </w:tc>
      </w:tr>
    </w:tbl>
    <w:p>
      <w:pPr>
        <w:spacing w:line="360" w:lineRule="auto"/>
        <w:ind w:firstLine="480" w:firstLineChars="200"/>
        <w:rPr>
          <w:rFonts w:hint="eastAsia" w:ascii="Times New Roman"/>
          <w:sz w:val="24"/>
          <w:szCs w:val="24"/>
          <w:lang w:eastAsia="zh-CN"/>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不允许排放生产性废水。冲版废水和洗版废水共（27t/a）经固定的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收集设施收集后交给有资质单位处理。</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一期项目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丝印、烘干、上膜、打样及涂感光胶工序设置在密闭车间中进行，产生的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配套处理设施收集后</w:t>
      </w:r>
      <w:r>
        <w:rPr>
          <w:rFonts w:hint="eastAsia" w:ascii="宋体" w:hAnsi="宋体" w:cs="宋体"/>
          <w:sz w:val="24"/>
          <w:szCs w:val="24"/>
          <w:lang w:eastAsia="zh-CN"/>
        </w:rPr>
        <w:t>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废气排放执行广东省《印刷行业挥发性有机化合物排放标 准》（DB44/815-2010）第Ⅱ时段排气筒排放浓度限值标准中较严值要求。</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HSJC（验字）20</w:t>
      </w:r>
      <w:r>
        <w:rPr>
          <w:rFonts w:hint="eastAsia" w:ascii="宋体" w:hAnsi="宋体" w:cs="宋体"/>
          <w:sz w:val="24"/>
          <w:szCs w:val="24"/>
          <w:lang w:val="en-US" w:eastAsia="zh-CN"/>
        </w:rPr>
        <w:t>200629002</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w:t>
      </w:r>
      <w:r>
        <w:rPr>
          <w:rFonts w:ascii="Times New Roman" w:hAnsi="Times New Roman"/>
          <w:sz w:val="24"/>
          <w:szCs w:val="24"/>
        </w:rPr>
        <w:t>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不允许排放生产性废水。冲版废水和洗版废水共（27t/a）经固定的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收集设施收集后交给有资质单位处理。</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一期项目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达到广东省《水污染物排放限值》（DB44/26-2001）第二时段三级标准后排入市政截污管网，引至东莞市虎门宁洲污水处理厂处理。</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丝印、烘干、上膜、打样及涂感光胶工序设置在密闭车间中进行，产生的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配套处理设施收集后</w:t>
      </w:r>
      <w:r>
        <w:rPr>
          <w:rFonts w:hint="eastAsia" w:ascii="宋体" w:hAnsi="宋体" w:cs="宋体"/>
          <w:sz w:val="24"/>
          <w:szCs w:val="24"/>
          <w:lang w:eastAsia="zh-CN"/>
        </w:rPr>
        <w:t>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广东省《印刷行业挥发性有机化合物排放标 准》（DB44/815-2010）第Ⅱ时段排气筒排放浓度限值标准中较严值要求。</w:t>
      </w:r>
      <w:r>
        <w:rPr>
          <w:rFonts w:hint="eastAsia" w:ascii="Times New Roman" w:hAnsi="Times New Roman"/>
          <w:sz w:val="24"/>
          <w:szCs w:val="24"/>
        </w:rPr>
        <w:t>见监测报告</w:t>
      </w:r>
      <w:r>
        <w:rPr>
          <w:rFonts w:hint="eastAsia" w:ascii="宋体" w:hAnsi="宋体" w:eastAsia="宋体" w:cs="宋体"/>
          <w:sz w:val="24"/>
          <w:szCs w:val="24"/>
        </w:rPr>
        <w:t>HSJC（验字）20</w:t>
      </w:r>
      <w:r>
        <w:rPr>
          <w:rFonts w:hint="eastAsia" w:ascii="宋体" w:hAnsi="宋体" w:cs="宋体"/>
          <w:sz w:val="24"/>
          <w:szCs w:val="24"/>
          <w:lang w:val="en-US" w:eastAsia="zh-CN"/>
        </w:rPr>
        <w:t>200629002</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HSJC（验字）20</w:t>
      </w:r>
      <w:r>
        <w:rPr>
          <w:rFonts w:hint="eastAsia" w:ascii="宋体" w:hAnsi="宋体" w:cs="宋体"/>
          <w:sz w:val="24"/>
          <w:szCs w:val="24"/>
          <w:lang w:val="en-US" w:eastAsia="zh-CN"/>
        </w:rPr>
        <w:t>200629002</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东莞市亿得实业有限公司一期</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同意一期</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一期项目不从事夜间生产，如若项目需从事夜间生产，再申报夜间噪音达标验收。因部分设备为引进（自动丝印机</w:t>
      </w:r>
      <w:r>
        <w:rPr>
          <w:rFonts w:hint="eastAsia" w:ascii="Times New Roman" w:hAnsi="Times New Roman"/>
          <w:sz w:val="24"/>
          <w:szCs w:val="24"/>
          <w:lang w:val="en-US" w:eastAsia="zh-CN"/>
        </w:rPr>
        <w:t>2台、烘干线2条、UV机1台、烫金机1台、上膜机1台、涂布机（涂感光胶）1台、补版台1个</w:t>
      </w:r>
      <w:r>
        <w:rPr>
          <w:rFonts w:hint="eastAsia" w:ascii="Times New Roman" w:hAnsi="Times New Roman"/>
          <w:sz w:val="24"/>
          <w:szCs w:val="24"/>
          <w:lang w:eastAsia="zh-CN"/>
        </w:rPr>
        <w:t>），如需引进该设备再向贵局申请二次验收。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亿得实业</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07-2</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亿得实业</w:t>
      </w:r>
      <w:r>
        <w:rPr>
          <w:rFonts w:hint="eastAsia" w:ascii="Times New Roman" w:hAnsi="Times New Roman"/>
          <w:b/>
          <w:sz w:val="28"/>
          <w:szCs w:val="28"/>
        </w:rPr>
        <w:t>有限公司</w:t>
      </w:r>
      <w:r>
        <w:rPr>
          <w:rFonts w:hint="eastAsia" w:ascii="Times New Roman" w:hAnsi="Times New Roman"/>
          <w:b/>
          <w:sz w:val="28"/>
          <w:szCs w:val="28"/>
          <w:lang w:eastAsia="zh-CN"/>
        </w:rPr>
        <w:t>一期建设</w:t>
      </w:r>
      <w:bookmarkStart w:id="0" w:name="_GoBack"/>
      <w:bookmarkEnd w:id="0"/>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6CF11AC"/>
    <w:rsid w:val="19627BC8"/>
    <w:rsid w:val="1A2A0674"/>
    <w:rsid w:val="1AFD3DF1"/>
    <w:rsid w:val="1B2025A9"/>
    <w:rsid w:val="22C43CA5"/>
    <w:rsid w:val="253A7A7C"/>
    <w:rsid w:val="26547E6C"/>
    <w:rsid w:val="28FE0F04"/>
    <w:rsid w:val="2CC47CD2"/>
    <w:rsid w:val="2D686495"/>
    <w:rsid w:val="2EB55303"/>
    <w:rsid w:val="2F721B86"/>
    <w:rsid w:val="34313947"/>
    <w:rsid w:val="36027ECC"/>
    <w:rsid w:val="39223B63"/>
    <w:rsid w:val="39D75F5B"/>
    <w:rsid w:val="3A914185"/>
    <w:rsid w:val="3B885DD3"/>
    <w:rsid w:val="3F3573BE"/>
    <w:rsid w:val="406B0E51"/>
    <w:rsid w:val="431026E4"/>
    <w:rsid w:val="43F8288A"/>
    <w:rsid w:val="48C519DE"/>
    <w:rsid w:val="4AD63029"/>
    <w:rsid w:val="4D925BF8"/>
    <w:rsid w:val="53177114"/>
    <w:rsid w:val="582E11CE"/>
    <w:rsid w:val="59971B00"/>
    <w:rsid w:val="5D5242FD"/>
    <w:rsid w:val="60ED1601"/>
    <w:rsid w:val="63B50DE9"/>
    <w:rsid w:val="67D61337"/>
    <w:rsid w:val="6E801591"/>
    <w:rsid w:val="6ED22FFA"/>
    <w:rsid w:val="70CB01F1"/>
    <w:rsid w:val="710961DF"/>
    <w:rsid w:val="711C32AE"/>
    <w:rsid w:val="72D74728"/>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4</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2020-07-08T11:47:27Z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