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79" w:leftChars="133" w:firstLine="0" w:firstLineChars="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技恒模型工艺品</w:t>
      </w:r>
      <w:r>
        <w:rPr>
          <w:rFonts w:hint="eastAsia" w:ascii="Times New Roman"/>
          <w:b/>
          <w:sz w:val="28"/>
          <w:szCs w:val="28"/>
        </w:rPr>
        <w:t>有限公司</w:t>
      </w:r>
      <w:r>
        <w:rPr>
          <w:rFonts w:hint="eastAsia" w:ascii="Times New Roman"/>
          <w:b/>
          <w:sz w:val="28"/>
          <w:szCs w:val="28"/>
          <w:lang w:eastAsia="zh-CN"/>
        </w:rPr>
        <w:t>（改扩建）建设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4</w:t>
      </w:r>
      <w:r>
        <w:rPr>
          <w:rFonts w:hint="eastAsia" w:ascii="Times New Roman"/>
          <w:sz w:val="24"/>
          <w:szCs w:val="24"/>
        </w:rPr>
        <w:t>月</w:t>
      </w:r>
      <w:r>
        <w:rPr>
          <w:rFonts w:hint="eastAsia" w:ascii="Times New Roman"/>
          <w:sz w:val="24"/>
          <w:szCs w:val="24"/>
          <w:lang w:val="en-US" w:eastAsia="zh-CN"/>
        </w:rPr>
        <w:t>13</w:t>
      </w:r>
      <w:r>
        <w:rPr>
          <w:rFonts w:hint="eastAsia" w:ascii="Times New Roman"/>
          <w:sz w:val="24"/>
          <w:szCs w:val="24"/>
        </w:rPr>
        <w:t>日东莞市</w:t>
      </w:r>
      <w:r>
        <w:rPr>
          <w:rFonts w:hint="eastAsia" w:ascii="Times New Roman"/>
          <w:sz w:val="24"/>
          <w:szCs w:val="24"/>
          <w:lang w:eastAsia="zh-CN"/>
        </w:rPr>
        <w:t>技恒模型工艺品</w:t>
      </w:r>
      <w:r>
        <w:rPr>
          <w:rFonts w:hint="eastAsia" w:ascii="Times New Roman"/>
          <w:sz w:val="24"/>
          <w:szCs w:val="24"/>
        </w:rPr>
        <w:t>有限公司根据东莞市</w:t>
      </w:r>
      <w:r>
        <w:rPr>
          <w:rFonts w:hint="eastAsia" w:ascii="Times New Roman"/>
          <w:sz w:val="24"/>
          <w:szCs w:val="24"/>
          <w:lang w:eastAsia="zh-CN"/>
        </w:rPr>
        <w:t>技恒模型工艺品</w:t>
      </w:r>
      <w:r>
        <w:rPr>
          <w:rFonts w:hint="eastAsia" w:ascii="Times New Roman"/>
          <w:sz w:val="24"/>
          <w:szCs w:val="24"/>
        </w:rPr>
        <w:t>有限公司</w:t>
      </w:r>
      <w:r>
        <w:rPr>
          <w:rFonts w:hint="eastAsia" w:ascii="Times New Roman"/>
          <w:sz w:val="24"/>
          <w:szCs w:val="24"/>
          <w:lang w:eastAsia="zh-CN"/>
        </w:rPr>
        <w:t>（改扩建）建设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hint="default" w:cs="Times New Roman"/>
          <w:lang w:val="en-US"/>
        </w:rPr>
      </w:pPr>
      <w:r>
        <w:rPr>
          <w:rFonts w:hint="eastAsia" w:cs="Times New Roman"/>
        </w:rPr>
        <w:t>东莞市</w:t>
      </w:r>
      <w:r>
        <w:rPr>
          <w:rFonts w:hint="eastAsia" w:cs="Times New Roman"/>
          <w:lang w:eastAsia="zh-CN"/>
        </w:rPr>
        <w:t>技恒模型工艺品</w:t>
      </w:r>
      <w:r>
        <w:rPr>
          <w:rFonts w:hint="eastAsia" w:cs="Times New Roman"/>
        </w:rPr>
        <w:t>有限公司位于</w:t>
      </w:r>
      <w:r>
        <w:rPr>
          <w:rFonts w:hint="eastAsia" w:cs="Times New Roman"/>
          <w:color w:val="000000"/>
          <w:lang w:eastAsia="zh-CN"/>
        </w:rPr>
        <w:t>东莞市虎门镇金洲第二区一排二撞二楼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29.34</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40</w:t>
      </w:r>
      <w:r>
        <w:rPr>
          <w:rFonts w:cs="Times New Roman"/>
          <w:bCs/>
          <w:color w:val="000000"/>
        </w:rPr>
        <w:t>′</w:t>
      </w:r>
      <w:r>
        <w:rPr>
          <w:rFonts w:hint="eastAsia" w:cs="Times New Roman"/>
          <w:bCs/>
          <w:color w:val="000000"/>
          <w:lang w:val="en-US" w:eastAsia="zh-CN"/>
        </w:rPr>
        <w:t>35.91</w:t>
      </w:r>
      <w:r>
        <w:rPr>
          <w:rFonts w:cs="Times New Roman"/>
          <w:bCs/>
          <w:color w:val="000000"/>
        </w:rPr>
        <w:t>″</w:t>
      </w:r>
      <w:r>
        <w:rPr>
          <w:rFonts w:hint="eastAsia" w:cs="Times New Roman"/>
          <w:bCs/>
          <w:color w:val="000000"/>
        </w:rPr>
        <w:t>）</w:t>
      </w:r>
      <w:r>
        <w:rPr>
          <w:rFonts w:hint="eastAsia" w:cs="Times New Roman"/>
        </w:rPr>
        <w:t>。项目</w:t>
      </w:r>
      <w:r>
        <w:rPr>
          <w:rFonts w:hint="eastAsia" w:cs="Times New Roman"/>
          <w:lang w:eastAsia="zh-CN"/>
        </w:rPr>
        <w:t>改扩建后</w:t>
      </w:r>
      <w:r>
        <w:rPr>
          <w:rFonts w:hint="eastAsia" w:cs="Times New Roman"/>
        </w:rPr>
        <w:t>所在厂房为租用，占地面积</w:t>
      </w:r>
      <w:r>
        <w:rPr>
          <w:rFonts w:hint="eastAsia" w:cs="Times New Roman"/>
          <w:lang w:val="en-US" w:eastAsia="zh-CN"/>
        </w:rPr>
        <w:t>700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700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加工生产模型工艺品</w:t>
      </w:r>
      <w:r>
        <w:rPr>
          <w:rFonts w:hint="eastAsia" w:cs="Times New Roman"/>
        </w:rPr>
        <w:t>，年</w:t>
      </w:r>
      <w:r>
        <w:rPr>
          <w:rFonts w:hint="eastAsia" w:cs="Times New Roman"/>
          <w:lang w:eastAsia="zh-CN"/>
        </w:rPr>
        <w:t>加工生产模型工艺品</w:t>
      </w:r>
      <w:r>
        <w:rPr>
          <w:rFonts w:hint="eastAsia" w:cs="Times New Roman"/>
          <w:lang w:val="en-US" w:eastAsia="zh-CN"/>
        </w:rPr>
        <w:t>3万件。</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技恒模型工艺品</w:t>
      </w:r>
      <w:r>
        <w:rPr>
          <w:rFonts w:hint="eastAsia" w:cs="Times New Roman"/>
          <w:color w:val="000000"/>
        </w:rPr>
        <w:t>有限公司</w:t>
      </w:r>
      <w:r>
        <w:rPr>
          <w:rFonts w:hint="default" w:ascii="Times New Roman" w:hAnsi="Times New Roman" w:eastAsia="宋体" w:cs="Times New Roman"/>
          <w:color w:val="auto"/>
          <w:sz w:val="24"/>
          <w:lang w:eastAsia="zh-CN"/>
        </w:rPr>
        <w:t>于</w:t>
      </w:r>
      <w:r>
        <w:rPr>
          <w:rFonts w:hint="default" w:ascii="Times New Roman" w:hAnsi="Times New Roman" w:eastAsia="宋体" w:cs="Times New Roman"/>
          <w:color w:val="auto"/>
          <w:sz w:val="24"/>
        </w:rPr>
        <w:t>20</w:t>
      </w:r>
      <w:r>
        <w:rPr>
          <w:rFonts w:hint="default" w:ascii="Times New Roman" w:hAnsi="Times New Roman" w:eastAsia="宋体" w:cs="Times New Roman"/>
          <w:color w:val="auto"/>
          <w:sz w:val="24"/>
          <w:lang w:val="en-US" w:eastAsia="zh-CN"/>
        </w:rPr>
        <w:t>07</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月</w:t>
      </w:r>
      <w:r>
        <w:rPr>
          <w:rFonts w:hint="default" w:ascii="Times New Roman" w:hAnsi="Times New Roman" w:eastAsia="宋体" w:cs="Times New Roman"/>
          <w:color w:val="auto"/>
          <w:sz w:val="24"/>
          <w:lang w:val="en-US" w:eastAsia="zh-CN"/>
        </w:rPr>
        <w:t>1日填报</w:t>
      </w:r>
      <w:r>
        <w:rPr>
          <w:rFonts w:hint="default" w:ascii="Times New Roman" w:hAnsi="Times New Roman" w:eastAsia="宋体" w:cs="Times New Roman"/>
          <w:color w:val="auto"/>
          <w:sz w:val="24"/>
        </w:rPr>
        <w:t>了《</w:t>
      </w:r>
      <w:r>
        <w:rPr>
          <w:rFonts w:hint="default" w:ascii="Times New Roman" w:hAnsi="Times New Roman" w:eastAsia="宋体" w:cs="Times New Roman"/>
          <w:color w:val="auto"/>
          <w:sz w:val="24"/>
          <w:lang w:eastAsia="zh-CN"/>
        </w:rPr>
        <w:t>东莞市技恒模型工艺品有限公司</w:t>
      </w:r>
      <w:r>
        <w:rPr>
          <w:rFonts w:hint="default" w:ascii="Times New Roman" w:hAnsi="Times New Roman" w:eastAsia="宋体" w:cs="Times New Roman"/>
          <w:color w:val="auto"/>
          <w:sz w:val="24"/>
        </w:rPr>
        <w:t>建设项目环境影响</w:t>
      </w:r>
      <w:r>
        <w:rPr>
          <w:rFonts w:hint="default" w:ascii="Times New Roman" w:hAnsi="Times New Roman" w:eastAsia="宋体" w:cs="Times New Roman"/>
          <w:color w:val="auto"/>
          <w:sz w:val="24"/>
          <w:lang w:eastAsia="zh-CN"/>
        </w:rPr>
        <w:t>登记</w:t>
      </w:r>
      <w:r>
        <w:rPr>
          <w:rFonts w:hint="default" w:ascii="Times New Roman" w:hAnsi="Times New Roman" w:eastAsia="宋体" w:cs="Times New Roman"/>
          <w:color w:val="auto"/>
          <w:sz w:val="24"/>
        </w:rPr>
        <w:t>表》，并于20</w:t>
      </w:r>
      <w:r>
        <w:rPr>
          <w:rFonts w:hint="default" w:ascii="Times New Roman" w:hAnsi="Times New Roman" w:eastAsia="宋体" w:cs="Times New Roman"/>
          <w:color w:val="auto"/>
          <w:sz w:val="24"/>
          <w:lang w:val="en-US" w:eastAsia="zh-CN"/>
        </w:rPr>
        <w:t>07</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月</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日通过了东莞市环境保护局</w:t>
      </w:r>
      <w:r>
        <w:rPr>
          <w:rFonts w:hint="default" w:ascii="Times New Roman" w:hAnsi="Times New Roman" w:eastAsia="宋体" w:cs="Times New Roman"/>
          <w:color w:val="auto"/>
          <w:sz w:val="24"/>
          <w:lang w:eastAsia="zh-CN"/>
        </w:rPr>
        <w:t>虎门分局</w:t>
      </w:r>
      <w:r>
        <w:rPr>
          <w:rFonts w:hint="default" w:ascii="Times New Roman" w:hAnsi="Times New Roman" w:eastAsia="宋体" w:cs="Times New Roman"/>
          <w:color w:val="auto"/>
          <w:sz w:val="24"/>
        </w:rPr>
        <w:t>的审批同意建设，</w:t>
      </w:r>
      <w:r>
        <w:rPr>
          <w:rFonts w:hint="default" w:ascii="Times New Roman" w:hAnsi="Times New Roman" w:eastAsia="宋体" w:cs="Times New Roman"/>
          <w:color w:val="auto"/>
          <w:sz w:val="24"/>
          <w:u w:val="single"/>
          <w:lang w:eastAsia="zh-CN"/>
        </w:rPr>
        <w:t>登记表编号</w:t>
      </w:r>
      <w:r>
        <w:rPr>
          <w:rFonts w:hint="default" w:ascii="Times New Roman" w:hAnsi="Times New Roman" w:eastAsia="宋体" w:cs="Times New Roman"/>
          <w:color w:val="auto"/>
          <w:sz w:val="24"/>
          <w:u w:val="single"/>
        </w:rPr>
        <w:t>：</w:t>
      </w:r>
      <w:r>
        <w:rPr>
          <w:rFonts w:hint="default" w:ascii="Times New Roman" w:hAnsi="Times New Roman" w:eastAsia="宋体" w:cs="Times New Roman"/>
          <w:color w:val="auto"/>
          <w:sz w:val="24"/>
          <w:u w:val="single"/>
          <w:lang w:eastAsia="zh-CN"/>
        </w:rPr>
        <w:t>虎环</w:t>
      </w:r>
      <w:r>
        <w:rPr>
          <w:rFonts w:hint="default" w:ascii="Times New Roman" w:hAnsi="Times New Roman" w:eastAsia="宋体" w:cs="Times New Roman"/>
          <w:color w:val="auto"/>
          <w:sz w:val="24"/>
          <w:u w:val="single"/>
          <w:lang w:val="en-US" w:eastAsia="zh-CN"/>
        </w:rPr>
        <w:t>070160</w:t>
      </w:r>
      <w:r>
        <w:rPr>
          <w:rFonts w:hint="eastAsia" w:ascii="Times New Roman" w:hAnsi="Times New Roman" w:cs="Times New Roman"/>
          <w:color w:val="auto"/>
          <w:sz w:val="24"/>
          <w:u w:val="none"/>
          <w:lang w:val="en-US" w:eastAsia="zh-CN"/>
        </w:rPr>
        <w:t xml:space="preserve"> 并</w:t>
      </w:r>
      <w:r>
        <w:rPr>
          <w:rFonts w:hint="default" w:ascii="Times New Roman" w:hAnsi="Times New Roman" w:eastAsia="宋体" w:cs="Times New Roman"/>
          <w:color w:val="auto"/>
          <w:sz w:val="24"/>
          <w:u w:val="none"/>
          <w:lang w:eastAsia="zh-CN"/>
        </w:rPr>
        <w:t>于</w:t>
      </w:r>
      <w:r>
        <w:rPr>
          <w:rFonts w:hint="default" w:ascii="Times New Roman" w:hAnsi="Times New Roman" w:eastAsia="宋体" w:cs="Times New Roman"/>
          <w:color w:val="auto"/>
          <w:sz w:val="24"/>
        </w:rPr>
        <w:t>20</w:t>
      </w:r>
      <w:r>
        <w:rPr>
          <w:rFonts w:hint="default" w:ascii="Times New Roman" w:hAnsi="Times New Roman" w:eastAsia="宋体" w:cs="Times New Roman"/>
          <w:color w:val="auto"/>
          <w:sz w:val="24"/>
          <w:lang w:val="en-US" w:eastAsia="zh-CN"/>
        </w:rPr>
        <w:t>07</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月</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rPr>
        <w:t>日通过了东莞市环境保护局</w:t>
      </w:r>
      <w:r>
        <w:rPr>
          <w:rFonts w:hint="default" w:ascii="Times New Roman" w:hAnsi="Times New Roman" w:eastAsia="宋体" w:cs="Times New Roman"/>
          <w:color w:val="auto"/>
          <w:sz w:val="24"/>
          <w:lang w:eastAsia="zh-CN"/>
        </w:rPr>
        <w:t>虎门分局</w:t>
      </w:r>
      <w:r>
        <w:rPr>
          <w:rFonts w:hint="default" w:ascii="Times New Roman" w:hAnsi="Times New Roman" w:eastAsia="宋体" w:cs="Times New Roman"/>
          <w:color w:val="auto"/>
          <w:sz w:val="24"/>
        </w:rPr>
        <w:t>的</w:t>
      </w:r>
      <w:r>
        <w:rPr>
          <w:rFonts w:hint="default" w:ascii="Times New Roman" w:hAnsi="Times New Roman" w:eastAsia="宋体" w:cs="Times New Roman"/>
          <w:color w:val="auto"/>
          <w:sz w:val="24"/>
          <w:lang w:eastAsia="zh-CN"/>
        </w:rPr>
        <w:t>环保验收</w:t>
      </w:r>
      <w:r>
        <w:rPr>
          <w:rFonts w:hint="default" w:ascii="Times New Roman" w:hAnsi="Times New Roman" w:eastAsia="宋体" w:cs="Times New Roman"/>
          <w:color w:val="auto"/>
          <w:sz w:val="24"/>
        </w:rPr>
        <w:t>。</w:t>
      </w:r>
      <w:r>
        <w:rPr>
          <w:rFonts w:hint="eastAsia" w:ascii="Times New Roman" w:hAnsi="Times New Roman" w:cs="Times New Roman"/>
          <w:color w:val="auto"/>
          <w:sz w:val="24"/>
          <w:lang w:eastAsia="zh-CN"/>
        </w:rPr>
        <w:t>因项目发展需要又于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9</w:t>
      </w:r>
      <w:r>
        <w:rPr>
          <w:rFonts w:hint="eastAsia" w:cs="Times New Roman"/>
          <w:color w:val="000000"/>
        </w:rPr>
        <w:t>月委托</w:t>
      </w:r>
      <w:r>
        <w:rPr>
          <w:rFonts w:hint="eastAsia" w:cs="Times New Roman"/>
          <w:color w:val="000000"/>
          <w:lang w:eastAsia="zh-CN"/>
        </w:rPr>
        <w:t>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技恒模型工艺品</w:t>
      </w:r>
      <w:r>
        <w:rPr>
          <w:rFonts w:hint="eastAsia" w:cs="Times New Roman"/>
          <w:color w:val="000000"/>
        </w:rPr>
        <w:t>有限公司</w:t>
      </w:r>
      <w:r>
        <w:rPr>
          <w:rFonts w:hint="eastAsia" w:cs="Times New Roman"/>
          <w:color w:val="000000"/>
          <w:lang w:eastAsia="zh-CN"/>
        </w:rPr>
        <w:t>（改扩建）</w:t>
      </w:r>
      <w:r>
        <w:rPr>
          <w:rFonts w:hint="eastAsia" w:cs="Times New Roman"/>
          <w:color w:val="000000"/>
        </w:rPr>
        <w:t>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21472</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1</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本</w:t>
      </w: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20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不排放生产性废水。水帘柜用水（2.304t/a）、喷淋用水（2t/a）经固定的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配料、成型、注胚、加压、抽真空、喷漆、烘烤工序设置在密闭车间中进行，产生的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废气排放执行广东省《家具制造行业挥发性有机化合物排放标准》（DB44/814-2010）第II时段排气筒排放限值要求。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20200408009</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85</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不排放生产性废水。水帘柜用水（2.304t/a）、喷淋用水（2t/a）经固定的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配料、成型、注胚、加压、抽真空、喷漆、烘烤工序设置在密闭车间中进行，产生的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废气排放执行广东省《家具制造行业挥发性有机化合物排放标准》（DB44/814-2010）第II时段排气筒排放限值要求。</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20200408009</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20200408009</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东莞市技恒模型工艺品有限公司（改扩建）</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技恒模型工艺品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04-13</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技恒模型工艺品</w:t>
      </w:r>
      <w:r>
        <w:rPr>
          <w:rFonts w:hint="eastAsia" w:ascii="Times New Roman" w:hAnsi="Times New Roman"/>
          <w:b/>
          <w:sz w:val="28"/>
          <w:szCs w:val="28"/>
        </w:rPr>
        <w:t>有限公司</w:t>
      </w:r>
      <w:r>
        <w:rPr>
          <w:rFonts w:hint="eastAsia" w:ascii="Times New Roman" w:hAnsi="Times New Roman"/>
          <w:b/>
          <w:sz w:val="28"/>
          <w:szCs w:val="28"/>
          <w:lang w:eastAsia="zh-CN"/>
        </w:rPr>
        <w:t>（改扩建）</w:t>
      </w:r>
      <w:bookmarkStart w:id="0" w:name="_GoBack"/>
      <w:bookmarkEnd w:id="0"/>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5A123E"/>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439759C"/>
    <w:rsid w:val="16CF11AC"/>
    <w:rsid w:val="19627BC8"/>
    <w:rsid w:val="1A2A0674"/>
    <w:rsid w:val="1AFD3DF1"/>
    <w:rsid w:val="1B2025A9"/>
    <w:rsid w:val="1FA034ED"/>
    <w:rsid w:val="22C43CA5"/>
    <w:rsid w:val="253A7A7C"/>
    <w:rsid w:val="26547E6C"/>
    <w:rsid w:val="28FE0F04"/>
    <w:rsid w:val="2BE544F3"/>
    <w:rsid w:val="2CC47CD2"/>
    <w:rsid w:val="2D686495"/>
    <w:rsid w:val="2EB55303"/>
    <w:rsid w:val="2F721B86"/>
    <w:rsid w:val="34313947"/>
    <w:rsid w:val="36027ECC"/>
    <w:rsid w:val="39223B63"/>
    <w:rsid w:val="39D75F5B"/>
    <w:rsid w:val="3A914185"/>
    <w:rsid w:val="3B885DD3"/>
    <w:rsid w:val="3F3573BE"/>
    <w:rsid w:val="406B0E51"/>
    <w:rsid w:val="41177F0D"/>
    <w:rsid w:val="431026E4"/>
    <w:rsid w:val="43F8288A"/>
    <w:rsid w:val="48C519DE"/>
    <w:rsid w:val="4AD63029"/>
    <w:rsid w:val="4D925BF8"/>
    <w:rsid w:val="53177114"/>
    <w:rsid w:val="57DB6A7F"/>
    <w:rsid w:val="582E11CE"/>
    <w:rsid w:val="59971B00"/>
    <w:rsid w:val="5D5242FD"/>
    <w:rsid w:val="60ED1601"/>
    <w:rsid w:val="63B50DE9"/>
    <w:rsid w:val="67D61337"/>
    <w:rsid w:val="6E801591"/>
    <w:rsid w:val="6ED22FFA"/>
    <w:rsid w:val="6F8B26F8"/>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2020-04-20T06:10:38Z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