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意丰精密电子</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日东莞市</w:t>
      </w:r>
      <w:r>
        <w:rPr>
          <w:rFonts w:hint="eastAsia" w:ascii="Times New Roman"/>
          <w:sz w:val="24"/>
          <w:szCs w:val="24"/>
          <w:lang w:eastAsia="zh-CN"/>
        </w:rPr>
        <w:t>意丰精密电子</w:t>
      </w:r>
      <w:r>
        <w:rPr>
          <w:rFonts w:hint="eastAsia" w:ascii="Times New Roman"/>
          <w:sz w:val="24"/>
          <w:szCs w:val="24"/>
        </w:rPr>
        <w:t>有限公司根据东莞市</w:t>
      </w:r>
      <w:r>
        <w:rPr>
          <w:rFonts w:hint="eastAsia" w:ascii="Times New Roman"/>
          <w:sz w:val="24"/>
          <w:szCs w:val="24"/>
          <w:lang w:eastAsia="zh-CN"/>
        </w:rPr>
        <w:t>意丰精密电子</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意丰精密电子</w:t>
      </w:r>
      <w:r>
        <w:rPr>
          <w:rFonts w:hint="eastAsia" w:cs="Times New Roman"/>
        </w:rPr>
        <w:t>有限公司位于</w:t>
      </w:r>
      <w:r>
        <w:rPr>
          <w:rFonts w:hint="eastAsia" w:cs="Times New Roman"/>
          <w:color w:val="000000"/>
          <w:lang w:eastAsia="zh-CN"/>
        </w:rPr>
        <w:t>东莞市虎门镇怀德社区大坑十巷</w:t>
      </w:r>
      <w:r>
        <w:rPr>
          <w:rFonts w:hint="eastAsia" w:cs="Times New Roman"/>
          <w:color w:val="000000"/>
          <w:lang w:val="en-US" w:eastAsia="zh-CN"/>
        </w:rPr>
        <w:t>23号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13.51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21.31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2460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5621</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80</w:t>
      </w:r>
      <w:r>
        <w:rPr>
          <w:rFonts w:hint="eastAsia" w:cs="Times New Roman"/>
        </w:rPr>
        <w:t>人，主要</w:t>
      </w:r>
      <w:r>
        <w:rPr>
          <w:rFonts w:hint="eastAsia" w:cs="Times New Roman"/>
          <w:lang w:eastAsia="zh-CN"/>
        </w:rPr>
        <w:t>加工生产连接器、充电宝配件</w:t>
      </w:r>
      <w:r>
        <w:rPr>
          <w:rFonts w:hint="eastAsia" w:cs="Times New Roman"/>
        </w:rPr>
        <w:t>，年</w:t>
      </w:r>
      <w:r>
        <w:rPr>
          <w:rFonts w:hint="eastAsia" w:cs="Times New Roman"/>
          <w:lang w:eastAsia="zh-CN"/>
        </w:rPr>
        <w:t>加工生产连接器</w:t>
      </w:r>
      <w:r>
        <w:rPr>
          <w:rFonts w:hint="eastAsia" w:cs="Times New Roman"/>
          <w:lang w:val="en-US" w:eastAsia="zh-CN"/>
        </w:rPr>
        <w:t>500万个，充电宝配件700万个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意丰精密电子</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意丰精密电子</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15471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点胶、烘干工序设置在密闭车间内进行，产生的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 第Ⅱ时段标准。注塑工序产生</w:t>
      </w:r>
      <w:r>
        <w:rPr>
          <w:rFonts w:hint="eastAsia" w:ascii="宋体" w:hAnsi="宋体" w:cs="宋体"/>
          <w:sz w:val="24"/>
          <w:szCs w:val="24"/>
          <w:lang w:eastAsia="zh-CN"/>
        </w:rPr>
        <w:t>的有机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大气污染物排放限值。回流焊、焊锡工序产生的废气经</w:t>
      </w:r>
      <w:r>
        <w:rPr>
          <w:rFonts w:hint="eastAsia" w:ascii="宋体" w:hAnsi="宋体" w:cs="宋体"/>
          <w:sz w:val="24"/>
          <w:szCs w:val="24"/>
          <w:lang w:eastAsia="zh-CN"/>
        </w:rPr>
        <w:t>集气装置</w:t>
      </w:r>
      <w:r>
        <w:rPr>
          <w:rFonts w:ascii="宋体" w:hAnsi="宋体" w:eastAsia="宋体" w:cs="宋体"/>
          <w:sz w:val="24"/>
          <w:szCs w:val="24"/>
        </w:rPr>
        <w:t>收集后高空排放，废气排放执行广东省《大气污染物排放限值》（DB44/27-2001）第二时段二级标准排放限值。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20200115001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点胶、烘干工序设置在密闭车间内进行，产生的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 第Ⅱ时段标准。注塑工序产生</w:t>
      </w:r>
      <w:r>
        <w:rPr>
          <w:rFonts w:hint="eastAsia" w:ascii="宋体" w:hAnsi="宋体" w:cs="宋体"/>
          <w:sz w:val="24"/>
          <w:szCs w:val="24"/>
          <w:lang w:eastAsia="zh-CN"/>
        </w:rPr>
        <w:t>的有机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配套的处理设施处理后高空排放，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大气污染物排放限值。回流焊、焊锡工序产生的废气经</w:t>
      </w:r>
      <w:r>
        <w:rPr>
          <w:rFonts w:hint="eastAsia" w:ascii="宋体" w:hAnsi="宋体" w:cs="宋体"/>
          <w:sz w:val="24"/>
          <w:szCs w:val="24"/>
          <w:lang w:eastAsia="zh-CN"/>
        </w:rPr>
        <w:t>集气装置</w:t>
      </w:r>
      <w:r>
        <w:rPr>
          <w:rFonts w:ascii="宋体" w:hAnsi="宋体" w:eastAsia="宋体" w:cs="宋体"/>
          <w:sz w:val="24"/>
          <w:szCs w:val="24"/>
        </w:rPr>
        <w:t>收集后高空排放，废气排放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20200115001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20200115001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东莞市意丰精密电子有限公司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意丰精密电子</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2-2</w:t>
      </w:r>
      <w:bookmarkStart w:id="0" w:name="_GoBack"/>
      <w:bookmarkEnd w:id="0"/>
      <w:r>
        <w:rPr>
          <w:rFonts w:hint="eastAsia" w:ascii="Times New Roman" w:hAnsi="Times New Roman"/>
          <w:sz w:val="24"/>
          <w:szCs w:val="24"/>
          <w:lang w:val="en-US" w:eastAsia="zh-CN"/>
        </w:rPr>
        <w:t>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意丰精密电子</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3B53ED5"/>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48E78D3"/>
    <w:rsid w:val="36027ECC"/>
    <w:rsid w:val="37313A8A"/>
    <w:rsid w:val="39223B63"/>
    <w:rsid w:val="39D75F5B"/>
    <w:rsid w:val="3A914185"/>
    <w:rsid w:val="3B885DD3"/>
    <w:rsid w:val="3F3573BE"/>
    <w:rsid w:val="406B0E51"/>
    <w:rsid w:val="431026E4"/>
    <w:rsid w:val="43F8288A"/>
    <w:rsid w:val="48C519DE"/>
    <w:rsid w:val="4AD63029"/>
    <w:rsid w:val="4D925BF8"/>
    <w:rsid w:val="53177114"/>
    <w:rsid w:val="55BE7BE6"/>
    <w:rsid w:val="582E11CE"/>
    <w:rsid w:val="59971B00"/>
    <w:rsid w:val="5D5242FD"/>
    <w:rsid w:val="60ED1601"/>
    <w:rsid w:val="63B50DE9"/>
    <w:rsid w:val="67D61337"/>
    <w:rsid w:val="69D677ED"/>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2020-03-19T02:18:28Z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