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君锐五金制品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9</w:t>
      </w:r>
      <w:r>
        <w:rPr>
          <w:rFonts w:hint="eastAsia" w:ascii="Times New Roman"/>
          <w:sz w:val="24"/>
          <w:szCs w:val="24"/>
        </w:rPr>
        <w:t>月</w:t>
      </w:r>
      <w:r>
        <w:rPr>
          <w:rFonts w:hint="eastAsia" w:ascii="Times New Roman"/>
          <w:sz w:val="24"/>
          <w:szCs w:val="24"/>
          <w:lang w:val="en-US" w:eastAsia="zh-CN"/>
        </w:rPr>
        <w:t>26</w:t>
      </w:r>
      <w:r>
        <w:rPr>
          <w:rFonts w:hint="eastAsia" w:ascii="Times New Roman"/>
          <w:sz w:val="24"/>
          <w:szCs w:val="24"/>
        </w:rPr>
        <w:t>日东莞市</w:t>
      </w:r>
      <w:r>
        <w:rPr>
          <w:rFonts w:hint="eastAsia" w:ascii="Times New Roman"/>
          <w:sz w:val="24"/>
          <w:szCs w:val="24"/>
          <w:lang w:eastAsia="zh-CN"/>
        </w:rPr>
        <w:t>君锐五金制品</w:t>
      </w:r>
      <w:r>
        <w:rPr>
          <w:rFonts w:hint="eastAsia" w:ascii="Times New Roman"/>
          <w:sz w:val="24"/>
          <w:szCs w:val="24"/>
        </w:rPr>
        <w:t>有限公司根据东莞市</w:t>
      </w:r>
      <w:r>
        <w:rPr>
          <w:rFonts w:hint="eastAsia" w:ascii="Times New Roman"/>
          <w:sz w:val="24"/>
          <w:szCs w:val="24"/>
          <w:lang w:eastAsia="zh-CN"/>
        </w:rPr>
        <w:t>君锐五金制品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君锐五金制品</w:t>
      </w:r>
      <w:r>
        <w:rPr>
          <w:rFonts w:hint="eastAsia" w:cs="Times New Roman"/>
        </w:rPr>
        <w:t>有限公司位于</w:t>
      </w:r>
      <w:r>
        <w:rPr>
          <w:rFonts w:hint="eastAsia" w:cs="Times New Roman"/>
          <w:color w:val="000000"/>
          <w:lang w:eastAsia="zh-CN"/>
        </w:rPr>
        <w:t>东莞市虎门镇居岐社区大坑路</w:t>
      </w:r>
      <w:r>
        <w:rPr>
          <w:rFonts w:hint="eastAsia" w:cs="Times New Roman"/>
          <w:color w:val="000000"/>
          <w:lang w:val="en-US" w:eastAsia="zh-CN"/>
        </w:rPr>
        <w:t>8号A栋三楼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12.27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43.38</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加工生产塑胶配件、五金配件</w:t>
      </w:r>
      <w:r>
        <w:rPr>
          <w:rFonts w:hint="eastAsia" w:cs="Times New Roman"/>
        </w:rPr>
        <w:t>，</w:t>
      </w:r>
      <w:r>
        <w:rPr>
          <w:rFonts w:hint="eastAsia" w:cs="Times New Roman"/>
          <w:lang w:eastAsia="zh-CN"/>
        </w:rPr>
        <w:t>环评设计年加工生产塑胶配件</w:t>
      </w:r>
      <w:r>
        <w:rPr>
          <w:rFonts w:hint="eastAsia" w:cs="Times New Roman"/>
          <w:lang w:val="en-US" w:eastAsia="zh-CN"/>
        </w:rPr>
        <w:t>60万件、五金配件120万件，</w:t>
      </w:r>
      <w:r>
        <w:rPr>
          <w:rFonts w:hint="eastAsia" w:cs="Times New Roman"/>
          <w:lang w:eastAsia="zh-CN"/>
        </w:rPr>
        <w:t>一期项目实际</w:t>
      </w:r>
      <w:r>
        <w:rPr>
          <w:rFonts w:hint="eastAsia" w:cs="Times New Roman"/>
        </w:rPr>
        <w:t>年</w:t>
      </w:r>
      <w:r>
        <w:rPr>
          <w:rFonts w:hint="eastAsia" w:cs="Times New Roman"/>
          <w:lang w:eastAsia="zh-CN"/>
        </w:rPr>
        <w:t>加工生产塑胶配件</w:t>
      </w:r>
      <w:r>
        <w:rPr>
          <w:rFonts w:hint="eastAsia" w:cs="Times New Roman"/>
          <w:lang w:val="en-US" w:eastAsia="zh-CN"/>
        </w:rPr>
        <w:t>50万件、五金配件110万件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君锐五金制品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君锐五金制品</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9512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10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一期</w:t>
      </w:r>
      <w:r>
        <w:rPr>
          <w:rFonts w:hint="eastAsia" w:ascii="Times New Roman"/>
          <w:sz w:val="24"/>
          <w:szCs w:val="24"/>
        </w:rPr>
        <w:t>本项目实际建设内容与环评批复的审批内容基本一致，无重大变动情况。</w:t>
      </w:r>
      <w:r>
        <w:rPr>
          <w:rFonts w:hint="eastAsia" w:ascii="Times New Roman"/>
          <w:sz w:val="24"/>
          <w:szCs w:val="24"/>
          <w:lang w:eastAsia="zh-CN"/>
        </w:rPr>
        <w:t>现有一期设备详情（附表）</w:t>
      </w:r>
    </w:p>
    <w:p>
      <w:pPr>
        <w:spacing w:line="360" w:lineRule="auto"/>
        <w:ind w:firstLine="480" w:firstLineChars="200"/>
        <w:rPr>
          <w:rFonts w:hint="eastAsia" w:ascii="Times New Roman"/>
          <w:sz w:val="24"/>
          <w:szCs w:val="24"/>
          <w:lang w:eastAsia="zh-CN"/>
        </w:rPr>
      </w:pPr>
    </w:p>
    <w:p>
      <w:pPr>
        <w:spacing w:line="360" w:lineRule="auto"/>
        <w:ind w:firstLine="480" w:firstLineChars="200"/>
        <w:rPr>
          <w:rFonts w:hint="eastAsia" w:ascii="Times New Roman"/>
          <w:sz w:val="24"/>
          <w:szCs w:val="24"/>
          <w:lang w:eastAsia="zh-CN"/>
        </w:rPr>
      </w:pPr>
    </w:p>
    <w:tbl>
      <w:tblPr>
        <w:tblStyle w:val="9"/>
        <w:tblW w:w="9240"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95"/>
        <w:gridCol w:w="1560"/>
        <w:gridCol w:w="1215"/>
        <w:gridCol w:w="1680"/>
        <w:gridCol w:w="150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235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未验收设备</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235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手动水帘柜</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4个</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4个</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75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喷漆</w:t>
            </w:r>
          </w:p>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79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5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往复机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75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795" w:type="dxa"/>
            <w:vMerge w:val="continue"/>
            <w:vAlign w:val="center"/>
          </w:tcPr>
          <w:p>
            <w:pPr>
              <w:spacing w:line="360" w:lineRule="auto"/>
              <w:jc w:val="center"/>
              <w:rPr>
                <w:rFonts w:hint="eastAsia" w:ascii="Times New Roman"/>
                <w:sz w:val="24"/>
                <w:szCs w:val="24"/>
                <w:vertAlign w:val="baseline"/>
                <w:lang w:eastAsia="zh-CN"/>
              </w:rPr>
            </w:pPr>
          </w:p>
        </w:tc>
        <w:tc>
          <w:tcPr>
            <w:tcW w:w="15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喷枪</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4把</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4把</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75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795" w:type="dxa"/>
            <w:vMerge w:val="continue"/>
            <w:vAlign w:val="center"/>
          </w:tcPr>
          <w:p>
            <w:pPr>
              <w:spacing w:line="360" w:lineRule="auto"/>
              <w:jc w:val="center"/>
              <w:rPr>
                <w:rFonts w:hint="eastAsia" w:ascii="Times New Roman"/>
                <w:sz w:val="24"/>
                <w:szCs w:val="24"/>
                <w:vertAlign w:val="baseline"/>
                <w:lang w:eastAsia="zh-CN"/>
              </w:rPr>
            </w:pPr>
          </w:p>
        </w:tc>
        <w:tc>
          <w:tcPr>
            <w:tcW w:w="15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电烤箱</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5台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75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235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自动喷漆线</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0条</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1条</w:t>
            </w:r>
            <w:bookmarkStart w:id="0" w:name="_GoBack"/>
            <w:bookmarkEnd w:id="0"/>
          </w:p>
        </w:tc>
        <w:tc>
          <w:tcPr>
            <w:tcW w:w="175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79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5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水帘柜</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0个</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75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795" w:type="dxa"/>
            <w:vMerge w:val="continue"/>
            <w:vAlign w:val="center"/>
          </w:tcPr>
          <w:p>
            <w:pPr>
              <w:spacing w:line="360" w:lineRule="auto"/>
              <w:jc w:val="center"/>
              <w:rPr>
                <w:rFonts w:hint="eastAsia" w:ascii="Times New Roman"/>
                <w:sz w:val="24"/>
                <w:szCs w:val="24"/>
                <w:vertAlign w:val="baseline"/>
                <w:lang w:eastAsia="zh-CN"/>
              </w:rPr>
            </w:pPr>
          </w:p>
        </w:tc>
        <w:tc>
          <w:tcPr>
            <w:tcW w:w="15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喷枪</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5把</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0把</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5把</w:t>
            </w:r>
          </w:p>
        </w:tc>
        <w:tc>
          <w:tcPr>
            <w:tcW w:w="175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795" w:type="dxa"/>
            <w:vMerge w:val="continue"/>
            <w:vAlign w:val="center"/>
          </w:tcPr>
          <w:p>
            <w:pPr>
              <w:spacing w:line="360" w:lineRule="auto"/>
              <w:jc w:val="center"/>
              <w:rPr>
                <w:rFonts w:hint="eastAsia" w:ascii="Times New Roman"/>
                <w:sz w:val="24"/>
                <w:szCs w:val="24"/>
                <w:vertAlign w:val="baseline"/>
                <w:lang w:eastAsia="zh-CN"/>
              </w:rPr>
            </w:pPr>
          </w:p>
        </w:tc>
        <w:tc>
          <w:tcPr>
            <w:tcW w:w="15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隧道炉</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0条</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75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35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喷粉柜</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2个</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75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79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5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喷枪</w:t>
            </w:r>
          </w:p>
        </w:tc>
        <w:tc>
          <w:tcPr>
            <w:tcW w:w="12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w:t>
            </w:r>
            <w:r>
              <w:rPr>
                <w:rFonts w:hint="eastAsia" w:ascii="Times New Roman"/>
                <w:sz w:val="24"/>
                <w:szCs w:val="24"/>
                <w:vertAlign w:val="baseline"/>
                <w:lang w:eastAsia="zh-CN"/>
              </w:rPr>
              <w:t>把</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w:t>
            </w:r>
            <w:r>
              <w:rPr>
                <w:rFonts w:hint="eastAsia" w:ascii="Times New Roman"/>
                <w:sz w:val="24"/>
                <w:szCs w:val="24"/>
                <w:vertAlign w:val="baseline"/>
                <w:lang w:eastAsia="zh-CN"/>
              </w:rPr>
              <w:t>把</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75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35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烤粉箱</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35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超声波清洗机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超声波清洗机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235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风干机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35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75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不排放生产性废水。水帘柜废水（12.76t/a）、水喷淋废水（2t/a）和清洗废水（5.76t/a）经固定的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收集设施收集后交给有资质单位处理</w:t>
      </w:r>
      <w:r>
        <w:rPr>
          <w:rFonts w:hint="eastAsia" w:ascii="宋体" w:hAnsi="宋体" w:cs="宋体"/>
          <w:sz w:val="24"/>
          <w:szCs w:val="24"/>
          <w:lang w:eastAsia="zh-CN"/>
        </w:rPr>
        <w:t>。</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喷粉工序</w:t>
      </w:r>
      <w:r>
        <w:rPr>
          <w:rFonts w:hint="eastAsia" w:ascii="宋体" w:hAnsi="宋体" w:cs="宋体"/>
          <w:sz w:val="24"/>
          <w:szCs w:val="24"/>
          <w:lang w:eastAsia="zh-CN"/>
        </w:rPr>
        <w:t>设置集气装置，</w:t>
      </w:r>
      <w:r>
        <w:rPr>
          <w:rFonts w:ascii="宋体" w:hAnsi="宋体" w:eastAsia="宋体" w:cs="宋体"/>
          <w:sz w:val="24"/>
          <w:szCs w:val="24"/>
        </w:rPr>
        <w:t>产生的废气经收集后高空排放，废气排放执行广东省《大气污染物排放限值》(DB44/27-2001)第二时段二级标准；烤粉、喷漆、烤漆工序设置在密闭车间内，产生的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”进行</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 （DB44/814-2010）第 II 时段排气筒 VOCs 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20190827002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85</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不排放生产性废水。水帘柜废水（12.76t/a）、水喷淋废水（2t/a）和清洗废水（5.76t/a）经固定的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收集设施收集后交给有资质单位处理</w:t>
      </w:r>
      <w:r>
        <w:rPr>
          <w:rFonts w:hint="eastAsia" w:ascii="宋体" w:hAnsi="宋体" w:cs="宋体"/>
          <w:sz w:val="24"/>
          <w:szCs w:val="24"/>
          <w:lang w:eastAsia="zh-CN"/>
        </w:rPr>
        <w:t>。</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喷粉工序</w:t>
      </w:r>
      <w:r>
        <w:rPr>
          <w:rFonts w:hint="eastAsia" w:ascii="宋体" w:hAnsi="宋体" w:cs="宋体"/>
          <w:sz w:val="24"/>
          <w:szCs w:val="24"/>
          <w:lang w:eastAsia="zh-CN"/>
        </w:rPr>
        <w:t>设置集气装置，</w:t>
      </w:r>
      <w:r>
        <w:rPr>
          <w:rFonts w:ascii="宋体" w:hAnsi="宋体" w:eastAsia="宋体" w:cs="宋体"/>
          <w:sz w:val="24"/>
          <w:szCs w:val="24"/>
        </w:rPr>
        <w:t>产生的废气经收集后高空排放，废气排放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广东省《大气污染物排放限值》(DB44/27-2001)第二时段二级标准；烤粉、喷漆、烤漆工序设置在密闭车间内，产生的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”进行</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 II 时段排气筒 VOCs 排放限值。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90827002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90827002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东莞市君锐五金制品有限公司</w:t>
      </w:r>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一期项目不从事夜间生产，如若项目需从事夜间生产，再申报夜间噪音达标验收。一期项目未引进设备有（水帘柜</w:t>
      </w:r>
      <w:r>
        <w:rPr>
          <w:rFonts w:hint="eastAsia" w:ascii="Times New Roman" w:hAnsi="Times New Roman"/>
          <w:sz w:val="24"/>
          <w:szCs w:val="24"/>
          <w:lang w:val="en-US" w:eastAsia="zh-CN"/>
        </w:rPr>
        <w:t>1个、喷枪5把、隧道炉1条</w:t>
      </w:r>
      <w:r>
        <w:rPr>
          <w:rFonts w:hint="eastAsia" w:ascii="Times New Roman" w:hAnsi="Times New Roman"/>
          <w:sz w:val="24"/>
          <w:szCs w:val="24"/>
          <w:lang w:eastAsia="zh-CN"/>
        </w:rPr>
        <w:t>）暂不验收，如需验收再向贵局申请二次验收。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君锐五金制品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09-26</w:t>
      </w: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君锐五金制品</w:t>
      </w:r>
      <w:r>
        <w:rPr>
          <w:rFonts w:hint="eastAsia" w:ascii="Times New Roman" w:hAnsi="Times New Roman"/>
          <w:b/>
          <w:sz w:val="28"/>
          <w:szCs w:val="28"/>
        </w:rPr>
        <w:t>有限公司</w:t>
      </w:r>
      <w:r>
        <w:rPr>
          <w:rFonts w:hint="eastAsia" w:ascii="Times New Roman" w:hAnsi="Times New Roman"/>
          <w:b/>
          <w:sz w:val="28"/>
          <w:szCs w:val="28"/>
          <w:lang w:eastAsia="zh-CN"/>
        </w:rPr>
        <w:t>（一期）</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A3C406B"/>
    <w:rsid w:val="0B50386E"/>
    <w:rsid w:val="0B593A5D"/>
    <w:rsid w:val="0D343BE4"/>
    <w:rsid w:val="0DDE1527"/>
    <w:rsid w:val="0DE32979"/>
    <w:rsid w:val="0EB75478"/>
    <w:rsid w:val="0FCE5A89"/>
    <w:rsid w:val="114C068B"/>
    <w:rsid w:val="115C1480"/>
    <w:rsid w:val="123D1278"/>
    <w:rsid w:val="12D9070B"/>
    <w:rsid w:val="13201251"/>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214454B"/>
    <w:rsid w:val="43F8288A"/>
    <w:rsid w:val="48CD0B4B"/>
    <w:rsid w:val="4A272C13"/>
    <w:rsid w:val="4AD63029"/>
    <w:rsid w:val="4D925BF8"/>
    <w:rsid w:val="4DEF6361"/>
    <w:rsid w:val="53177114"/>
    <w:rsid w:val="582E11CE"/>
    <w:rsid w:val="59971B00"/>
    <w:rsid w:val="5D5242FD"/>
    <w:rsid w:val="60AD61AE"/>
    <w:rsid w:val="60ED1601"/>
    <w:rsid w:val="628169D5"/>
    <w:rsid w:val="63B50DE9"/>
    <w:rsid w:val="67D61337"/>
    <w:rsid w:val="6AB973B5"/>
    <w:rsid w:val="6E801591"/>
    <w:rsid w:val="6ED22FFA"/>
    <w:rsid w:val="702951B4"/>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2019-12-12T01:14:13Z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